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jc w:val="center"/>
        <w:rPr>
          <w:rFonts w:ascii="Verdana" w:hAnsi="Verdana"/>
          <w:b/>
          <w:snapToGrid w:val="0"/>
          <w:color w:val="FF0000"/>
        </w:rPr>
      </w:pPr>
    </w:p>
    <w:p w:rsidR="00816738" w:rsidRDefault="00816738" w:rsidP="00816738">
      <w:pPr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jc w:val="center"/>
        <w:rPr>
          <w:rFonts w:ascii="Verdana" w:hAnsi="Verdana"/>
          <w:b/>
          <w:snapToGrid w:val="0"/>
          <w:color w:val="FF0000"/>
        </w:rPr>
      </w:pPr>
      <w:r>
        <w:rPr>
          <w:rFonts w:ascii="Verdana" w:hAnsi="Verdana"/>
          <w:b/>
          <w:snapToGrid w:val="0"/>
          <w:color w:val="FF0000"/>
        </w:rPr>
        <w:t>DOMAINE DE FORMATION 2 : LE MANDATAIRE EN CHARGE DE LA MESURE D’ACCOMPAGNEMENT JUDICIAIRE</w:t>
      </w:r>
    </w:p>
    <w:p w:rsidR="00816738" w:rsidRDefault="00816738" w:rsidP="00816738">
      <w:pPr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rPr>
          <w:rFonts w:ascii="Verdana" w:hAnsi="Verdana"/>
          <w:b/>
          <w:snapToGrid w:val="0"/>
          <w:color w:val="000000"/>
        </w:rPr>
      </w:pPr>
    </w:p>
    <w:p w:rsidR="00816738" w:rsidRDefault="00816738" w:rsidP="00816738">
      <w:pPr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jc w:val="center"/>
        <w:rPr>
          <w:rFonts w:ascii="Verdana" w:hAnsi="Verdana"/>
          <w:b/>
          <w:snapToGrid w:val="0"/>
          <w:color w:val="FF0000"/>
        </w:rPr>
      </w:pP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b/>
          <w:snapToGrid w:val="0"/>
          <w:color w:val="FF0000"/>
        </w:rPr>
      </w:pPr>
      <w:r>
        <w:rPr>
          <w:rFonts w:ascii="Verdana" w:hAnsi="Verdana"/>
          <w:b/>
          <w:snapToGrid w:val="0"/>
          <w:color w:val="FF0000"/>
        </w:rPr>
        <w:t>Module 2.1 : les contours de l’intervention e</w:t>
      </w:r>
      <w:r w:rsidR="00140D01">
        <w:rPr>
          <w:rFonts w:ascii="Verdana" w:hAnsi="Verdana"/>
          <w:b/>
          <w:snapToGrid w:val="0"/>
          <w:color w:val="FF0000"/>
        </w:rPr>
        <w:t>t ses limites (durée : 3 jours)</w:t>
      </w:r>
    </w:p>
    <w:p w:rsidR="00140D01" w:rsidRPr="00140D01" w:rsidRDefault="00140D01" w:rsidP="00816738">
      <w:pPr>
        <w:rPr>
          <w:rFonts w:ascii="Verdana" w:hAnsi="Verdana"/>
          <w:b/>
          <w:snapToGrid w:val="0"/>
          <w:color w:val="002060"/>
        </w:rPr>
      </w:pPr>
      <w:r w:rsidRPr="00140D01">
        <w:rPr>
          <w:rFonts w:ascii="Verdana" w:hAnsi="Verdana"/>
          <w:b/>
          <w:snapToGrid w:val="0"/>
          <w:color w:val="002060"/>
        </w:rPr>
        <w:t>14, 15, 16 octobre 2015</w:t>
      </w:r>
    </w:p>
    <w:p w:rsidR="00816738" w:rsidRDefault="00816738" w:rsidP="00816738">
      <w:pPr>
        <w:rPr>
          <w:rFonts w:ascii="Verdana" w:hAnsi="Verdana"/>
          <w:b/>
          <w:snapToGrid w:val="0"/>
          <w:color w:val="FF0000"/>
        </w:rPr>
      </w:pPr>
      <w:r>
        <w:rPr>
          <w:rFonts w:ascii="Verdana" w:hAnsi="Verdana"/>
          <w:b/>
          <w:snapToGrid w:val="0"/>
          <w:color w:val="FF0000"/>
        </w:rPr>
        <w:t xml:space="preserve">Module 2.2 : les relations avec le juge et avec le conseil général (durée : 2 </w:t>
      </w:r>
      <w:r w:rsidR="00140D01">
        <w:rPr>
          <w:rFonts w:ascii="Verdana" w:hAnsi="Verdana"/>
          <w:b/>
          <w:snapToGrid w:val="0"/>
          <w:color w:val="FF0000"/>
        </w:rPr>
        <w:t>jours)</w:t>
      </w:r>
    </w:p>
    <w:p w:rsidR="00140D01" w:rsidRPr="00140D01" w:rsidRDefault="00140D01" w:rsidP="00816738">
      <w:pPr>
        <w:rPr>
          <w:rFonts w:ascii="Verdana" w:hAnsi="Verdana"/>
          <w:b/>
          <w:snapToGrid w:val="0"/>
          <w:color w:val="002060"/>
        </w:rPr>
      </w:pPr>
      <w:r w:rsidRPr="00140D01">
        <w:rPr>
          <w:rFonts w:ascii="Verdana" w:hAnsi="Verdana"/>
          <w:b/>
          <w:snapToGrid w:val="0"/>
          <w:color w:val="002060"/>
        </w:rPr>
        <w:t>2, 3 novembre 2015</w:t>
      </w:r>
    </w:p>
    <w:p w:rsidR="00816738" w:rsidRDefault="00816738" w:rsidP="00816738">
      <w:pPr>
        <w:rPr>
          <w:rFonts w:ascii="Verdana" w:hAnsi="Verdana"/>
          <w:b/>
          <w:snapToGrid w:val="0"/>
          <w:color w:val="FF0000"/>
        </w:rPr>
      </w:pPr>
      <w:r>
        <w:rPr>
          <w:rFonts w:ascii="Verdana" w:hAnsi="Verdana"/>
          <w:b/>
          <w:snapToGrid w:val="0"/>
          <w:color w:val="FF0000"/>
        </w:rPr>
        <w:t>Module 2.3 : action éducative et accompagnement vers l’autonomie de gesti</w:t>
      </w:r>
      <w:r w:rsidR="00140D01">
        <w:rPr>
          <w:rFonts w:ascii="Verdana" w:hAnsi="Verdana"/>
          <w:b/>
          <w:snapToGrid w:val="0"/>
          <w:color w:val="FF0000"/>
        </w:rPr>
        <w:t>on budgétaire (durée : 4 jours)</w:t>
      </w:r>
    </w:p>
    <w:p w:rsidR="00140D01" w:rsidRPr="00140D01" w:rsidRDefault="00140D01" w:rsidP="00816738">
      <w:pPr>
        <w:rPr>
          <w:rFonts w:ascii="Verdana" w:hAnsi="Verdana"/>
          <w:b/>
          <w:snapToGrid w:val="0"/>
          <w:color w:val="002060"/>
        </w:rPr>
      </w:pPr>
      <w:bookmarkStart w:id="0" w:name="_GoBack"/>
      <w:r w:rsidRPr="00140D01">
        <w:rPr>
          <w:rFonts w:ascii="Verdana" w:hAnsi="Verdana"/>
          <w:b/>
          <w:snapToGrid w:val="0"/>
          <w:color w:val="002060"/>
        </w:rPr>
        <w:t>16, 17 novembre et 23, 24 novembre 2015</w:t>
      </w:r>
    </w:p>
    <w:bookmarkEnd w:id="0"/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snapToGrid w:val="0"/>
          <w:color w:val="4F6228"/>
        </w:rPr>
        <w:t>Objectif général :</w:t>
      </w:r>
    </w:p>
    <w:p w:rsidR="00816738" w:rsidRDefault="00816738" w:rsidP="00816738">
      <w:pPr>
        <w:ind w:left="284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- acquérir une culture et un savoir-faire professionnels et maîtriser les fondements de</w:t>
      </w:r>
    </w:p>
    <w:p w:rsidR="00816738" w:rsidRDefault="00816738" w:rsidP="00816738">
      <w:pPr>
        <w:ind w:left="284"/>
        <w:rPr>
          <w:rFonts w:ascii="Verdana" w:hAnsi="Verdana"/>
          <w:snapToGrid w:val="0"/>
          <w:color w:val="000000"/>
        </w:rPr>
      </w:pPr>
      <w:proofErr w:type="gramStart"/>
      <w:r>
        <w:rPr>
          <w:rFonts w:ascii="Verdana" w:hAnsi="Verdana"/>
          <w:snapToGrid w:val="0"/>
          <w:color w:val="000000"/>
        </w:rPr>
        <w:t>l’intervention</w:t>
      </w:r>
      <w:proofErr w:type="gramEnd"/>
      <w:r>
        <w:rPr>
          <w:rFonts w:ascii="Verdana" w:hAnsi="Verdana"/>
          <w:snapToGrid w:val="0"/>
          <w:color w:val="000000"/>
        </w:rPr>
        <w:t xml:space="preserve"> dans le cadre d’une mesure d’accompagnement judiciaire (MAJ).</w:t>
      </w:r>
    </w:p>
    <w:p w:rsidR="00816738" w:rsidRDefault="00816738" w:rsidP="00816738">
      <w:pPr>
        <w:ind w:left="284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Ce domaine de formation reprend en partie certains éléments du domaine de formation, mais avec une orientation sur la posture professionnelle dans l’exercice des fonctions.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b/>
          <w:snapToGrid w:val="0"/>
          <w:color w:val="FF0000"/>
        </w:rPr>
      </w:pPr>
      <w:r>
        <w:rPr>
          <w:rFonts w:ascii="Verdana" w:hAnsi="Verdana"/>
          <w:b/>
          <w:snapToGrid w:val="0"/>
          <w:color w:val="FF0000"/>
        </w:rPr>
        <w:t>Module 2.1. Les contours de l’intervention et ses limites (3 jours)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snapToGrid w:val="0"/>
          <w:color w:val="4F6228"/>
        </w:rPr>
        <w:t>Objectif :</w:t>
      </w:r>
    </w:p>
    <w:p w:rsidR="00816738" w:rsidRDefault="00816738" w:rsidP="00816738">
      <w:pPr>
        <w:ind w:left="284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- bien cerner les contours de l’intervention, la nécessité et les modalités du travail avec d’autres acteurs.</w:t>
      </w:r>
    </w:p>
    <w:p w:rsidR="00816738" w:rsidRDefault="00816738" w:rsidP="00816738">
      <w:pPr>
        <w:ind w:left="284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Ce module intégrera des méthodes pédagogiques accordant une part importante d’exercices pratiques de mise en situation, d’analyse des pratiques, de réflexion sur les différentes notions...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snapToGrid w:val="0"/>
          <w:color w:val="4F6228"/>
        </w:rPr>
        <w:t>Compétences attendues à l’issue de ce module :</w:t>
      </w:r>
    </w:p>
    <w:p w:rsidR="00816738" w:rsidRDefault="00816738" w:rsidP="00816738">
      <w:pPr>
        <w:ind w:left="426" w:hanging="284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maîtriser les contours et les limites de l’intervention tutélaire et connaître les différents domaines de son intervention ;</w:t>
      </w:r>
    </w:p>
    <w:p w:rsidR="00816738" w:rsidRDefault="00816738" w:rsidP="00816738">
      <w:pPr>
        <w:ind w:left="426" w:hanging="284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connaître les services et des démarches à mobiliser (savoir à qui s’adresser) ;</w:t>
      </w:r>
    </w:p>
    <w:p w:rsidR="00816738" w:rsidRDefault="00816738" w:rsidP="00816738">
      <w:pPr>
        <w:ind w:left="426" w:hanging="284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savoir situer son intervention au regard de celles des autres intervenants (services de droit commun ou spécialisés) ;</w:t>
      </w:r>
    </w:p>
    <w:p w:rsidR="00816738" w:rsidRDefault="00816738" w:rsidP="00816738">
      <w:pPr>
        <w:ind w:left="426" w:hanging="284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savoir déterminer les modalités de sa communication professionnelle en fonction de l’interlocuteur et de l’objet concerné.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br w:type="page"/>
      </w:r>
    </w:p>
    <w:p w:rsidR="00816738" w:rsidRDefault="00816738" w:rsidP="00816738">
      <w:pPr>
        <w:rPr>
          <w:rFonts w:ascii="Verdana" w:hAnsi="Verdana"/>
          <w:b/>
          <w:snapToGrid w:val="0"/>
          <w:color w:val="000080"/>
        </w:rPr>
      </w:pPr>
      <w:r>
        <w:rPr>
          <w:rFonts w:ascii="Verdana" w:hAnsi="Verdana"/>
          <w:b/>
          <w:snapToGrid w:val="0"/>
          <w:color w:val="000080"/>
        </w:rPr>
        <w:lastRenderedPageBreak/>
        <w:t>Programme de formation de ce module :</w:t>
      </w:r>
    </w:p>
    <w:p w:rsidR="00816738" w:rsidRDefault="00816738" w:rsidP="00816738">
      <w:pPr>
        <w:rPr>
          <w:rFonts w:ascii="Verdana" w:hAnsi="Verdana"/>
          <w:b/>
          <w:i/>
          <w:snapToGrid w:val="0"/>
          <w:color w:val="008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i/>
          <w:snapToGrid w:val="0"/>
          <w:color w:val="4F6228"/>
        </w:rPr>
        <w:t xml:space="preserve">a) </w:t>
      </w:r>
      <w:r w:rsidRPr="00E677B1">
        <w:rPr>
          <w:rFonts w:ascii="Verdana" w:hAnsi="Verdana"/>
          <w:b/>
          <w:snapToGrid w:val="0"/>
          <w:color w:val="4F6228"/>
        </w:rPr>
        <w:t>Responsabilités et limites du mandataire « MAJ », notamment :</w:t>
      </w:r>
    </w:p>
    <w:p w:rsidR="00816738" w:rsidRDefault="00816738" w:rsidP="00816738">
      <w:pPr>
        <w:ind w:left="426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les limites de l’intervention du mandataire et l’accompagnement de la personne (action éducative en vue d’un retour à l’autonomie de gestion) ;</w:t>
      </w:r>
    </w:p>
    <w:p w:rsidR="00816738" w:rsidRDefault="00816738" w:rsidP="00816738">
      <w:pPr>
        <w:ind w:left="426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les situations justifiant le recours à des services ou interlocuteurs de droit commun ou spécialisés ; notions de danger, appréciation des degrés d’urgence et de gravité du danger ;</w:t>
      </w:r>
    </w:p>
    <w:p w:rsidR="00816738" w:rsidRDefault="00816738" w:rsidP="00816738">
      <w:pPr>
        <w:ind w:left="426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notions de philosophie sur les jeux de pouvoir ; valeurs et principes de l’accompagnement, réflexion collective, étude et analyse de cas pratiques, jeux de rôles...</w:t>
      </w:r>
    </w:p>
    <w:p w:rsidR="00816738" w:rsidRDefault="00816738" w:rsidP="00816738">
      <w:pPr>
        <w:rPr>
          <w:rFonts w:ascii="Verdana" w:hAnsi="Verdana"/>
          <w:i/>
          <w:snapToGrid w:val="0"/>
          <w:color w:val="000000"/>
        </w:rPr>
      </w:pPr>
    </w:p>
    <w:p w:rsidR="00816738" w:rsidRPr="00E677B1" w:rsidRDefault="00816738" w:rsidP="00816738">
      <w:pPr>
        <w:ind w:left="284" w:hanging="284"/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i/>
          <w:snapToGrid w:val="0"/>
          <w:color w:val="4F6228"/>
        </w:rPr>
        <w:t xml:space="preserve">b) </w:t>
      </w:r>
      <w:r w:rsidRPr="00E677B1">
        <w:rPr>
          <w:rFonts w:ascii="Verdana" w:hAnsi="Verdana"/>
          <w:b/>
          <w:snapToGrid w:val="0"/>
          <w:color w:val="4F6228"/>
        </w:rPr>
        <w:t>La relation professionnelle dans le cadre du mandat judiciaire et la communication professionnelle, notamment :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analyse de l’environnement et de l’attente des autres intervenants au regard de leurs représentations du mandataire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le positionnement professionnel dans l’intérêt de la personne et dans le respect de ses droits et libertés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les missions et le fonctionnement de l’organisation employeur ; sensibilisation à la fonction d’accompagnement professionnel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notions relatives au secret professionnel ; principes de partage d’information personnelles et de confidentialité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l’importance des écrits professionnels ; les règles et principes de la rédaction des écrits professionnels ; le principe d’avoir à rendre compte et à justifier de ses actions ; les notions relatives au jugement de valeur et à l’analyse objective.</w:t>
      </w:r>
    </w:p>
    <w:p w:rsidR="00816738" w:rsidRDefault="00816738" w:rsidP="00816738">
      <w:pPr>
        <w:rPr>
          <w:rFonts w:ascii="Verdana" w:hAnsi="Verdana"/>
          <w:i/>
          <w:snapToGrid w:val="0"/>
          <w:color w:val="000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i/>
          <w:snapToGrid w:val="0"/>
          <w:color w:val="4F6228"/>
        </w:rPr>
        <w:t xml:space="preserve">c) </w:t>
      </w:r>
      <w:r w:rsidRPr="00E677B1">
        <w:rPr>
          <w:rFonts w:ascii="Verdana" w:hAnsi="Verdana"/>
          <w:b/>
          <w:snapToGrid w:val="0"/>
          <w:color w:val="4F6228"/>
        </w:rPr>
        <w:t>Positionnement et pratique professionnels, notamment :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posture professionnelle : approche du rapport et de la relation à l’argent, définition des priorités, représentation, fonction symbolique, veille quant aux réajustements nécessaires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exercices pratiques et études de cas : négociation et explication du budget avec la personne ; identification des services ou professionnels compétents ; élaboration et tenue d’un budget ; analyse des obligations et échéances financières ; adaptation du budget en fonction de l’évolution de la situation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exercices pratiques sur la notion d’accompagnement dans un cadre contraint (mandat judiciaire) ; la clarification du rôle du mandataire dans la réalisation de son action (information, accompagnement, conseil, orientation) ; rappel de l’objectif de retour à l’autonomie de la personne à la gestion de ses prestations : l’aide à la gestion est un moyen de travailler sur l’autonomie de la gestion pour assurer la santé et la sécurité de la personne et de sa famille.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br w:type="page"/>
      </w:r>
    </w:p>
    <w:p w:rsidR="00816738" w:rsidRDefault="00816738" w:rsidP="00816738">
      <w:pPr>
        <w:rPr>
          <w:rFonts w:ascii="Verdana" w:hAnsi="Verdana"/>
          <w:b/>
          <w:snapToGrid w:val="0"/>
          <w:color w:val="FF0000"/>
        </w:rPr>
      </w:pPr>
      <w:r>
        <w:rPr>
          <w:rFonts w:ascii="Verdana" w:hAnsi="Verdana"/>
          <w:b/>
          <w:snapToGrid w:val="0"/>
          <w:color w:val="FF0000"/>
        </w:rPr>
        <w:lastRenderedPageBreak/>
        <w:t>Module 2.2. Les relations avec le juge et avec le conseil général (2 jours)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snapToGrid w:val="0"/>
          <w:color w:val="4F6228"/>
        </w:rPr>
        <w:t>Compétences attendues à l’issue de ce module :</w:t>
      </w:r>
    </w:p>
    <w:p w:rsidR="00816738" w:rsidRDefault="00816738" w:rsidP="00816738">
      <w:pPr>
        <w:ind w:left="284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savoir déterminer son intervention en fonction du mandat confié par le juge ;</w:t>
      </w:r>
    </w:p>
    <w:p w:rsidR="00816738" w:rsidRDefault="00816738" w:rsidP="00816738">
      <w:pPr>
        <w:ind w:left="284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maîtriser les principes des écrits professionnels et savoir les mettre en pratique ;</w:t>
      </w:r>
    </w:p>
    <w:p w:rsidR="00816738" w:rsidRDefault="00816738" w:rsidP="00816738">
      <w:pPr>
        <w:ind w:left="284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connaître et comprendre les différentes relations avec l’autorité judiciaire (rapports, requêtes, audiences, auditions...) ;</w:t>
      </w:r>
    </w:p>
    <w:p w:rsidR="00816738" w:rsidRDefault="00816738" w:rsidP="00816738">
      <w:pPr>
        <w:ind w:left="284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savoir justifier les dispositions qui ont été prises dans l’exercice du mandat ;</w:t>
      </w:r>
    </w:p>
    <w:p w:rsidR="00816738" w:rsidRDefault="00816738" w:rsidP="00816738">
      <w:pPr>
        <w:ind w:left="284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comprendre et savoir situer la MAJ dans une continuité d’intervention, en amont comme en aval, avec les acteurs de l’intervention sociale.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b/>
          <w:snapToGrid w:val="0"/>
          <w:color w:val="000080"/>
        </w:rPr>
      </w:pPr>
      <w:r>
        <w:rPr>
          <w:rFonts w:ascii="Verdana" w:hAnsi="Verdana"/>
          <w:b/>
          <w:snapToGrid w:val="0"/>
          <w:color w:val="000080"/>
        </w:rPr>
        <w:t>Programme de formation de ce module :</w:t>
      </w:r>
    </w:p>
    <w:p w:rsidR="00816738" w:rsidRDefault="00816738" w:rsidP="00816738">
      <w:pPr>
        <w:rPr>
          <w:rFonts w:ascii="Verdana" w:hAnsi="Verdana"/>
          <w:i/>
          <w:snapToGrid w:val="0"/>
          <w:color w:val="000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i/>
          <w:snapToGrid w:val="0"/>
          <w:color w:val="4F6228"/>
        </w:rPr>
        <w:t xml:space="preserve">a) </w:t>
      </w:r>
      <w:r w:rsidRPr="00E677B1">
        <w:rPr>
          <w:rFonts w:ascii="Verdana" w:hAnsi="Verdana"/>
          <w:b/>
          <w:snapToGrid w:val="0"/>
          <w:color w:val="4F6228"/>
        </w:rPr>
        <w:t>Relations avec le juge et l’autorité judiciaire, notamment :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la pratique de l’écrit à destination du juge : rédaction de bilans, analyse des contenus, du choix des informations, de la qualité rédactionnelle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analyse du rapport social d’évaluation à l’origine de la MAJ, en distinguant les éléments qui appellent une vigilance de ceux qui nécessitent l’intervention du mandataire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la participation aux auditions et audiences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relation « dynamique » du mandataire avec le juge : rôle d’alerte, anticipation de la fin de la mesure, proposition d’évolution de la mesure ou de l’intervention au cours du mandat...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rapport au juge intégrant les éléments d’appréciation du retour à l’autonomie de la personne dans la gestion de ses prestations et projet quant à l’issue de la mesure : relais et continuité de la prise en charge par les services sociaux/fin d’intervention/évolution vers une mesure d’assistance ou de représentation...</w:t>
      </w:r>
    </w:p>
    <w:p w:rsidR="00816738" w:rsidRDefault="00816738" w:rsidP="00816738">
      <w:pPr>
        <w:rPr>
          <w:rFonts w:ascii="Verdana" w:hAnsi="Verdana"/>
          <w:i/>
          <w:snapToGrid w:val="0"/>
          <w:color w:val="000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i/>
          <w:snapToGrid w:val="0"/>
          <w:color w:val="4F6228"/>
        </w:rPr>
        <w:t xml:space="preserve">b) </w:t>
      </w:r>
      <w:r w:rsidRPr="00E677B1">
        <w:rPr>
          <w:rFonts w:ascii="Verdana" w:hAnsi="Verdana"/>
          <w:b/>
          <w:snapToGrid w:val="0"/>
          <w:color w:val="4F6228"/>
        </w:rPr>
        <w:t>Relations avec les partenaires de l’action sociale, notamment :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évaluation de la situation, en amont et en aval de la MAJ et projet d’intervention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ouverture de la MAJ suite à une mesure d’accompagnement social personnalisé (MASP), préparation de la fin de la MAJ : relais et continuité dans la prise en charge entre accompagnement social de droit commun, MASP et MAJ ;</w:t>
      </w:r>
    </w:p>
    <w:p w:rsidR="00816738" w:rsidRDefault="00816738" w:rsidP="00816738">
      <w:pPr>
        <w:ind w:left="567" w:hanging="141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articulation avec les prestations éventuelles d’aide sociale à l’enfance.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b/>
          <w:snapToGrid w:val="0"/>
          <w:color w:val="FF0000"/>
        </w:rPr>
      </w:pPr>
      <w:r>
        <w:rPr>
          <w:rFonts w:ascii="Verdana" w:hAnsi="Verdana"/>
          <w:b/>
          <w:snapToGrid w:val="0"/>
          <w:color w:val="FF0000"/>
        </w:rPr>
        <w:t>Module 2.3. Action éducative et accompagnement vers l’autonomie de gestion budgétaire (4 jours)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Pr="00E677B1" w:rsidRDefault="00816738" w:rsidP="00816738">
      <w:pPr>
        <w:rPr>
          <w:rFonts w:ascii="Verdana" w:hAnsi="Verdana"/>
          <w:b/>
          <w:snapToGrid w:val="0"/>
          <w:color w:val="4F6228"/>
        </w:rPr>
      </w:pPr>
      <w:r w:rsidRPr="00E677B1">
        <w:rPr>
          <w:rFonts w:ascii="Verdana" w:hAnsi="Verdana"/>
          <w:b/>
          <w:snapToGrid w:val="0"/>
          <w:color w:val="4F6228"/>
        </w:rPr>
        <w:t>Compétences attendues à l’issue de ce module :</w:t>
      </w:r>
    </w:p>
    <w:p w:rsidR="00816738" w:rsidRDefault="00816738" w:rsidP="00816738">
      <w:pPr>
        <w:ind w:left="284" w:hanging="142"/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- savoir élaborer et conduire un projet d’action éducative en vue d’un retour à l’autonomie de la personne pour la gestion de ses prestations sociales.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b/>
          <w:snapToGrid w:val="0"/>
          <w:color w:val="000080"/>
        </w:rPr>
      </w:pPr>
      <w:r>
        <w:rPr>
          <w:rFonts w:ascii="Verdana" w:hAnsi="Verdana"/>
          <w:b/>
          <w:snapToGrid w:val="0"/>
          <w:color w:val="000080"/>
        </w:rPr>
        <w:t>Programme de formation de ce module, notamment :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initiation aux principes de l’intervention sociale et aux méthodologies d’intervention ;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la notion d’accompagnement personnalisé ;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la relation éducative, l’action éducative ;</w:t>
      </w:r>
    </w:p>
    <w:p w:rsidR="00816738" w:rsidRDefault="00816738" w:rsidP="00816738">
      <w:pPr>
        <w:rPr>
          <w:rFonts w:ascii="Verdana" w:hAnsi="Verdana"/>
          <w:snapToGrid w:val="0"/>
          <w:color w:val="000000"/>
        </w:rPr>
      </w:pPr>
      <w:r>
        <w:rPr>
          <w:rFonts w:ascii="Verdana" w:hAnsi="Verdana"/>
          <w:snapToGrid w:val="0"/>
          <w:color w:val="000000"/>
        </w:rPr>
        <w:t>– l’adhésion de la personne, la contractualisation.</w:t>
      </w:r>
    </w:p>
    <w:p w:rsidR="001A3B3A" w:rsidRPr="00816738" w:rsidRDefault="001A3B3A">
      <w:pPr>
        <w:rPr>
          <w:rFonts w:ascii="Verdana" w:hAnsi="Verdana"/>
          <w:snapToGrid w:val="0"/>
          <w:color w:val="000000"/>
        </w:rPr>
      </w:pPr>
    </w:p>
    <w:sectPr w:rsidR="001A3B3A" w:rsidRPr="00816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0D01">
      <w:r>
        <w:separator/>
      </w:r>
    </w:p>
  </w:endnote>
  <w:endnote w:type="continuationSeparator" w:id="0">
    <w:p w:rsidR="00000000" w:rsidRDefault="0014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3D" w:rsidRDefault="0081673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9773D" w:rsidRDefault="00140D0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3D" w:rsidRDefault="00140D01">
    <w:pPr>
      <w:pStyle w:val="Pieddepage"/>
      <w:framePr w:wrap="around" w:vAnchor="text" w:hAnchor="margin" w:xAlign="right" w:y="1"/>
      <w:rPr>
        <w:rStyle w:val="Numrodepage"/>
      </w:rPr>
    </w:pPr>
  </w:p>
  <w:p w:rsidR="0059773D" w:rsidRPr="00E677B1" w:rsidRDefault="00816738">
    <w:pPr>
      <w:pStyle w:val="Pieddepage"/>
      <w:ind w:right="360"/>
      <w:rPr>
        <w:rFonts w:ascii="Verdana" w:hAnsi="Verdana"/>
        <w:color w:val="4F6228"/>
        <w:sz w:val="16"/>
      </w:rPr>
    </w:pPr>
    <w:r w:rsidRPr="00E677B1">
      <w:rPr>
        <w:rFonts w:ascii="Verdana" w:hAnsi="Verdana"/>
        <w:color w:val="4F6228"/>
        <w:sz w:val="16"/>
      </w:rPr>
      <w:t>Certificat National de Compétence de Mandataire Judiciaire à la Protection des Majeurs, mention « Mesure d’accompagnement Judiciaire » (M.A.J.)</w:t>
    </w:r>
  </w:p>
  <w:p w:rsidR="0059773D" w:rsidRPr="00E677B1" w:rsidRDefault="00816738">
    <w:pPr>
      <w:pStyle w:val="Pieddepage"/>
      <w:ind w:right="360"/>
      <w:rPr>
        <w:rFonts w:ascii="Verdana" w:hAnsi="Verdana"/>
        <w:color w:val="4F6228"/>
      </w:rPr>
    </w:pPr>
    <w:r>
      <w:rPr>
        <w:rFonts w:ascii="Verdana" w:hAnsi="Verdana"/>
        <w:color w:val="008000"/>
        <w:sz w:val="16"/>
      </w:rPr>
      <w:tab/>
    </w:r>
    <w:r>
      <w:rPr>
        <w:rFonts w:ascii="Verdana" w:hAnsi="Verdana"/>
        <w:color w:val="008000"/>
        <w:sz w:val="16"/>
      </w:rPr>
      <w:tab/>
    </w:r>
    <w:r w:rsidRPr="00E677B1">
      <w:rPr>
        <w:rStyle w:val="Numrodepage"/>
        <w:color w:val="4F6228"/>
      </w:rPr>
      <w:fldChar w:fldCharType="begin"/>
    </w:r>
    <w:r w:rsidRPr="00E677B1">
      <w:rPr>
        <w:rStyle w:val="Numrodepage"/>
        <w:color w:val="4F6228"/>
      </w:rPr>
      <w:instrText xml:space="preserve"> PAGE </w:instrText>
    </w:r>
    <w:r w:rsidRPr="00E677B1">
      <w:rPr>
        <w:rStyle w:val="Numrodepage"/>
        <w:color w:val="4F6228"/>
      </w:rPr>
      <w:fldChar w:fldCharType="separate"/>
    </w:r>
    <w:r w:rsidR="00140D01">
      <w:rPr>
        <w:rStyle w:val="Numrodepage"/>
        <w:noProof/>
        <w:color w:val="4F6228"/>
      </w:rPr>
      <w:t>2</w:t>
    </w:r>
    <w:r w:rsidRPr="00E677B1">
      <w:rPr>
        <w:rStyle w:val="Numrodepage"/>
        <w:color w:val="4F62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DE" w:rsidRPr="004978BE" w:rsidRDefault="00816738" w:rsidP="00927EDE">
    <w:pPr>
      <w:pStyle w:val="Pieddepage"/>
      <w:jc w:val="center"/>
      <w:rPr>
        <w:rFonts w:ascii="Verdana" w:hAnsi="Verdana"/>
        <w:sz w:val="14"/>
        <w:szCs w:val="14"/>
      </w:rPr>
    </w:pPr>
    <w:r w:rsidRPr="004978BE">
      <w:rPr>
        <w:rFonts w:ascii="Verdana" w:hAnsi="Verdana"/>
        <w:sz w:val="14"/>
        <w:szCs w:val="14"/>
      </w:rPr>
      <w:t>Le Bois des Côtes – Bât A – 3</w:t>
    </w:r>
    <w:r w:rsidRPr="004978BE">
      <w:rPr>
        <w:rFonts w:ascii="Verdana" w:hAnsi="Verdana"/>
        <w:sz w:val="14"/>
        <w:szCs w:val="14"/>
        <w:vertAlign w:val="superscript"/>
      </w:rPr>
      <w:t>ème</w:t>
    </w:r>
    <w:r w:rsidRPr="004978BE">
      <w:rPr>
        <w:rFonts w:ascii="Verdana" w:hAnsi="Verdana"/>
        <w:sz w:val="14"/>
        <w:szCs w:val="14"/>
      </w:rPr>
      <w:t xml:space="preserve"> étage – 300 Route Nationale 6 – 69760 LIMONEST</w:t>
    </w:r>
  </w:p>
  <w:p w:rsidR="00927EDE" w:rsidRPr="004978BE" w:rsidRDefault="00816738" w:rsidP="00927EDE">
    <w:pPr>
      <w:pStyle w:val="Pieddepage"/>
      <w:jc w:val="center"/>
      <w:rPr>
        <w:rFonts w:ascii="Verdana" w:hAnsi="Verdana"/>
        <w:sz w:val="14"/>
        <w:szCs w:val="14"/>
      </w:rPr>
    </w:pPr>
    <w:r w:rsidRPr="004978BE">
      <w:rPr>
        <w:rFonts w:ascii="Verdana" w:hAnsi="Verdana"/>
        <w:sz w:val="14"/>
        <w:szCs w:val="14"/>
      </w:rPr>
      <w:t>Tél. 04 72 85 62 92 – Fax 04 72 85 62 99</w:t>
    </w:r>
  </w:p>
  <w:p w:rsidR="00927EDE" w:rsidRPr="004978BE" w:rsidRDefault="00816738" w:rsidP="00927EDE">
    <w:pPr>
      <w:pStyle w:val="Pieddepage"/>
      <w:jc w:val="center"/>
      <w:rPr>
        <w:rFonts w:ascii="Verdana" w:hAnsi="Verdana"/>
        <w:sz w:val="14"/>
        <w:szCs w:val="14"/>
      </w:rPr>
    </w:pPr>
    <w:r w:rsidRPr="004978BE">
      <w:rPr>
        <w:rFonts w:ascii="Verdana" w:hAnsi="Verdana"/>
        <w:sz w:val="14"/>
        <w:szCs w:val="14"/>
      </w:rPr>
      <w:t xml:space="preserve">Mail : </w:t>
    </w:r>
    <w:hyperlink r:id="rId1" w:history="1">
      <w:r w:rsidRPr="004978BE">
        <w:rPr>
          <w:rStyle w:val="Lienhypertexte"/>
          <w:rFonts w:ascii="Verdana" w:hAnsi="Verdana"/>
          <w:sz w:val="14"/>
          <w:szCs w:val="14"/>
        </w:rPr>
        <w:t>safor@wanadoo.fr</w:t>
      </w:r>
    </w:hyperlink>
    <w:r w:rsidRPr="004978BE">
      <w:rPr>
        <w:rFonts w:ascii="Verdana" w:hAnsi="Verdana"/>
        <w:sz w:val="14"/>
        <w:szCs w:val="14"/>
      </w:rPr>
      <w:t xml:space="preserve">  - Site internet : www.safor-sante-formation.com</w:t>
    </w:r>
  </w:p>
  <w:p w:rsidR="00927EDE" w:rsidRPr="004978BE" w:rsidRDefault="00816738" w:rsidP="00927EDE">
    <w:pPr>
      <w:pStyle w:val="Pieddepage"/>
      <w:jc w:val="center"/>
      <w:rPr>
        <w:rFonts w:ascii="Verdana" w:hAnsi="Verdana"/>
        <w:sz w:val="14"/>
        <w:szCs w:val="14"/>
      </w:rPr>
    </w:pPr>
    <w:r w:rsidRPr="004978BE">
      <w:rPr>
        <w:rFonts w:ascii="Verdana" w:hAnsi="Verdana"/>
        <w:sz w:val="14"/>
        <w:szCs w:val="14"/>
      </w:rPr>
      <w:t xml:space="preserve">SARL au capital de 7622,45 euros – Siret : 40895316400048 – </w:t>
    </w:r>
    <w:r>
      <w:rPr>
        <w:rFonts w:ascii="Verdana" w:hAnsi="Verdana"/>
        <w:sz w:val="14"/>
        <w:szCs w:val="14"/>
      </w:rPr>
      <w:t xml:space="preserve">RCS : LYON - </w:t>
    </w:r>
    <w:r w:rsidRPr="004978BE">
      <w:rPr>
        <w:rFonts w:ascii="Verdana" w:hAnsi="Verdana"/>
        <w:sz w:val="14"/>
        <w:szCs w:val="14"/>
      </w:rPr>
      <w:t>Code NAF : 8559 A - DRFP : 82690524169</w:t>
    </w:r>
  </w:p>
  <w:p w:rsidR="0059773D" w:rsidRDefault="00140D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0D01">
      <w:r>
        <w:separator/>
      </w:r>
    </w:p>
  </w:footnote>
  <w:footnote w:type="continuationSeparator" w:id="0">
    <w:p w:rsidR="00000000" w:rsidRDefault="0014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EDE" w:rsidRDefault="00140D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3D" w:rsidRPr="00E677B1" w:rsidRDefault="00816738">
    <w:pPr>
      <w:pStyle w:val="En-tte"/>
      <w:jc w:val="right"/>
      <w:rPr>
        <w:rFonts w:ascii="Verdana" w:hAnsi="Verdana"/>
        <w:b/>
        <w:color w:val="4F6228"/>
        <w:sz w:val="24"/>
      </w:rPr>
    </w:pPr>
    <w:r w:rsidRPr="00E677B1">
      <w:rPr>
        <w:rFonts w:ascii="Verdana" w:hAnsi="Verdana"/>
        <w:b/>
        <w:color w:val="4F6228"/>
        <w:sz w:val="24"/>
      </w:rPr>
      <w:t>SAFOR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73D" w:rsidRDefault="00816738">
    <w:pPr>
      <w:pStyle w:val="En-tte"/>
      <w:jc w:val="center"/>
    </w:pPr>
    <w:r>
      <w:rPr>
        <w:noProof/>
      </w:rPr>
      <w:drawing>
        <wp:inline distT="0" distB="0" distL="0" distR="0">
          <wp:extent cx="1771650" cy="1095375"/>
          <wp:effectExtent l="0" t="0" r="0" b="9525"/>
          <wp:docPr id="1" name="Image 1" descr="Logo Saf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f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773D" w:rsidRDefault="00140D01">
    <w:pPr>
      <w:pStyle w:val="En-tte"/>
      <w:jc w:val="center"/>
      <w:rPr>
        <w:rFonts w:ascii="Comic Sans MS" w:hAnsi="Comic Sans MS"/>
        <w:b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38"/>
    <w:rsid w:val="00140D01"/>
    <w:rsid w:val="001A3B3A"/>
    <w:rsid w:val="008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semiHidden/>
    <w:rsid w:val="00816738"/>
  </w:style>
  <w:style w:type="paragraph" w:styleId="Pieddepage">
    <w:name w:val="footer"/>
    <w:basedOn w:val="Normal"/>
    <w:link w:val="PieddepageCar"/>
    <w:semiHidden/>
    <w:rsid w:val="008167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1673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8167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1673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81673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73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semiHidden/>
    <w:rsid w:val="00816738"/>
  </w:style>
  <w:style w:type="paragraph" w:styleId="Pieddepage">
    <w:name w:val="footer"/>
    <w:basedOn w:val="Normal"/>
    <w:link w:val="PieddepageCar"/>
    <w:semiHidden/>
    <w:rsid w:val="008167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1673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8167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1673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81673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7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73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for@wanadoo.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5775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 Commeau</dc:creator>
  <cp:lastModifiedBy>Françoise Commeau</cp:lastModifiedBy>
  <cp:revision>2</cp:revision>
  <dcterms:created xsi:type="dcterms:W3CDTF">2015-09-24T14:45:00Z</dcterms:created>
  <dcterms:modified xsi:type="dcterms:W3CDTF">2015-10-01T15:06:00Z</dcterms:modified>
</cp:coreProperties>
</file>